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9F03" w14:textId="525702DF" w:rsidR="00851C24" w:rsidRPr="000B02A1" w:rsidRDefault="00851C24" w:rsidP="00DD1C2C">
      <w:pPr>
        <w:spacing w:line="276" w:lineRule="auto"/>
      </w:pPr>
    </w:p>
    <w:p w14:paraId="6574FB3F" w14:textId="77777777" w:rsidR="00F31C6C" w:rsidRPr="009B6DA3" w:rsidRDefault="00F31C6C" w:rsidP="00BD3652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r w:rsidRPr="009B6DA3">
        <w:rPr>
          <w:rFonts w:cs="Arial"/>
          <w:b/>
          <w:sz w:val="32"/>
          <w:szCs w:val="32"/>
          <w:lang w:val="en-US"/>
        </w:rPr>
        <w:t xml:space="preserve">Preventing risk, protecting people: </w:t>
      </w:r>
      <w:r w:rsidR="00BD3652" w:rsidRPr="009B6DA3">
        <w:rPr>
          <w:rFonts w:cs="Arial"/>
          <w:b/>
          <w:sz w:val="32"/>
          <w:szCs w:val="32"/>
          <w:lang w:val="en-US"/>
        </w:rPr>
        <w:t xml:space="preserve">workplace machinery responsibility </w:t>
      </w:r>
    </w:p>
    <w:p w14:paraId="50E09731" w14:textId="6CEADCFF" w:rsidR="00F940D8" w:rsidRPr="009B6DA3" w:rsidRDefault="00BD3652" w:rsidP="00783A16">
      <w:pPr>
        <w:spacing w:line="360" w:lineRule="auto"/>
        <w:rPr>
          <w:rFonts w:cs="Arial"/>
          <w:lang w:val="en-US"/>
        </w:rPr>
      </w:pPr>
      <w:r w:rsidRPr="009B6DA3">
        <w:rPr>
          <w:rFonts w:cs="Arial"/>
          <w:lang w:val="en-US"/>
        </w:rPr>
        <w:br/>
      </w:r>
      <w:r w:rsidR="000363ED" w:rsidRPr="009B6DA3">
        <w:rPr>
          <w:rFonts w:cs="Arial"/>
          <w:lang w:val="en-US"/>
        </w:rPr>
        <w:t xml:space="preserve">Machinery </w:t>
      </w:r>
      <w:r w:rsidR="00DD1C2C" w:rsidRPr="009B6DA3">
        <w:rPr>
          <w:rFonts w:cs="Arial"/>
          <w:lang w:val="en-US"/>
        </w:rPr>
        <w:t>and machine guarding is one of the Department of Labor's Occupational Safety and Health Administration (OSHA) most cited violations year after year</w:t>
      </w:r>
      <w:r w:rsidR="00C55E32" w:rsidRPr="009B6DA3">
        <w:rPr>
          <w:rFonts w:cs="Arial"/>
          <w:lang w:val="en-US"/>
        </w:rPr>
        <w:t>.</w:t>
      </w:r>
      <w:r w:rsidR="00672726" w:rsidRPr="009B6DA3">
        <w:rPr>
          <w:rFonts w:cs="Arial"/>
          <w:lang w:val="en-US"/>
        </w:rPr>
        <w:t xml:space="preserve"> </w:t>
      </w:r>
      <w:r w:rsidR="00C55E32" w:rsidRPr="009B6DA3">
        <w:rPr>
          <w:rFonts w:cs="Arial"/>
          <w:lang w:val="en-US"/>
        </w:rPr>
        <w:t>I</w:t>
      </w:r>
      <w:r w:rsidR="00DD1C2C" w:rsidRPr="009B6DA3">
        <w:rPr>
          <w:rFonts w:cs="Arial"/>
          <w:lang w:val="en-US"/>
        </w:rPr>
        <w:t>n 2017</w:t>
      </w:r>
      <w:r w:rsidR="00672726" w:rsidRPr="009B6DA3">
        <w:rPr>
          <w:rFonts w:cs="Arial"/>
          <w:lang w:val="en-US"/>
        </w:rPr>
        <w:t>, it</w:t>
      </w:r>
      <w:r w:rsidR="003F2FFA" w:rsidRPr="009B6DA3">
        <w:rPr>
          <w:rFonts w:cs="Arial"/>
          <w:lang w:val="en-US"/>
        </w:rPr>
        <w:t xml:space="preserve"> was </w:t>
      </w:r>
      <w:r w:rsidR="00DD1C2C" w:rsidRPr="009B6DA3">
        <w:rPr>
          <w:rFonts w:cs="Arial"/>
          <w:lang w:val="en-US"/>
        </w:rPr>
        <w:t>the eighth most frequently cite</w:t>
      </w:r>
      <w:r w:rsidR="003F2FFA" w:rsidRPr="009B6DA3">
        <w:rPr>
          <w:rFonts w:cs="Arial"/>
          <w:lang w:val="en-US"/>
        </w:rPr>
        <w:t>d safety infraction</w:t>
      </w:r>
      <w:r w:rsidR="00DD1C2C" w:rsidRPr="009B6DA3">
        <w:rPr>
          <w:rFonts w:cs="Arial"/>
          <w:lang w:val="en-US"/>
        </w:rPr>
        <w:t xml:space="preserve"> on </w:t>
      </w:r>
      <w:r w:rsidR="003F2FFA" w:rsidRPr="009B6DA3">
        <w:rPr>
          <w:rFonts w:cs="Arial"/>
          <w:lang w:val="en-US"/>
        </w:rPr>
        <w:t>the</w:t>
      </w:r>
      <w:r w:rsidR="00DD1C2C" w:rsidRPr="009B6DA3">
        <w:rPr>
          <w:rFonts w:cs="Arial"/>
          <w:lang w:val="en-US"/>
        </w:rPr>
        <w:t xml:space="preserve"> list</w:t>
      </w:r>
      <w:r w:rsidR="000363ED" w:rsidRPr="009B6DA3">
        <w:rPr>
          <w:rStyle w:val="EndnoteReference"/>
          <w:rFonts w:cs="Arial"/>
          <w:lang w:val="en-US"/>
        </w:rPr>
        <w:endnoteReference w:id="1"/>
      </w:r>
      <w:r w:rsidR="00C55E32" w:rsidRPr="009B6DA3">
        <w:rPr>
          <w:rFonts w:cs="Arial"/>
          <w:lang w:val="en-US"/>
        </w:rPr>
        <w:t>, with OSHA recording</w:t>
      </w:r>
      <w:r w:rsidR="000C75EB" w:rsidRPr="009B6DA3">
        <w:rPr>
          <w:rFonts w:cs="Arial"/>
          <w:lang w:val="en-US"/>
        </w:rPr>
        <w:t xml:space="preserve"> </w:t>
      </w:r>
      <w:r w:rsidR="00F50008" w:rsidRPr="009B6DA3">
        <w:rPr>
          <w:rFonts w:cs="Arial"/>
          <w:lang w:val="en-US"/>
        </w:rPr>
        <w:t>1,933 machine guarding violations, resulting in</w:t>
      </w:r>
      <w:r w:rsidR="000363ED" w:rsidRPr="009B6DA3">
        <w:rPr>
          <w:rFonts w:cs="Arial"/>
          <w:lang w:val="en-US"/>
        </w:rPr>
        <w:t xml:space="preserve"> millions of </w:t>
      </w:r>
      <w:r w:rsidR="00F50008" w:rsidRPr="009B6DA3">
        <w:rPr>
          <w:rFonts w:cs="Arial"/>
          <w:lang w:val="en-US"/>
        </w:rPr>
        <w:t xml:space="preserve">dollars’ worth </w:t>
      </w:r>
      <w:r w:rsidR="000363ED" w:rsidRPr="009B6DA3">
        <w:rPr>
          <w:rFonts w:cs="Arial"/>
          <w:lang w:val="en-US"/>
        </w:rPr>
        <w:t>in proposed penalties</w:t>
      </w:r>
      <w:r w:rsidR="00F50008" w:rsidRPr="009B6DA3">
        <w:rPr>
          <w:rStyle w:val="EndnoteReference"/>
          <w:rFonts w:cs="Arial"/>
          <w:lang w:val="en-US"/>
        </w:rPr>
        <w:endnoteReference w:id="2"/>
      </w:r>
      <w:r w:rsidR="00C8637C" w:rsidRPr="009B6DA3">
        <w:rPr>
          <w:rFonts w:cs="Arial"/>
          <w:lang w:val="en-US"/>
        </w:rPr>
        <w:t>.</w:t>
      </w:r>
    </w:p>
    <w:p w14:paraId="763D232C" w14:textId="066CE3EB" w:rsidR="00C8637C" w:rsidRPr="009B6DA3" w:rsidRDefault="00F940D8" w:rsidP="00783A16">
      <w:pPr>
        <w:spacing w:line="360" w:lineRule="auto"/>
        <w:rPr>
          <w:rFonts w:cs="Arial"/>
          <w:lang w:val="en-US"/>
        </w:rPr>
      </w:pPr>
      <w:r w:rsidRPr="009B6DA3">
        <w:rPr>
          <w:rFonts w:cs="Arial"/>
          <w:lang w:val="en-US"/>
        </w:rPr>
        <w:t>According to OSHA, approximately 18,000 workers that operate and maintain machinery suffer amputations, lacerations, crushing injuries, and abrasions each year as a result of inadequate machine guarding protocols, and on average 800 fatalities</w:t>
      </w:r>
      <w:r w:rsidR="00C8637C" w:rsidRPr="009B6DA3">
        <w:rPr>
          <w:rFonts w:cs="Arial"/>
          <w:lang w:val="en-US"/>
        </w:rPr>
        <w:t xml:space="preserve"> due to inadequate </w:t>
      </w:r>
      <w:r w:rsidRPr="009B6DA3">
        <w:rPr>
          <w:rFonts w:cs="Arial"/>
          <w:lang w:val="en-US"/>
        </w:rPr>
        <w:t>protection</w:t>
      </w:r>
      <w:r w:rsidRPr="009B6DA3">
        <w:rPr>
          <w:rStyle w:val="EndnoteReference"/>
          <w:rFonts w:cs="Arial"/>
          <w:lang w:val="en-US"/>
        </w:rPr>
        <w:endnoteReference w:id="3"/>
      </w:r>
      <w:r w:rsidRPr="009B6DA3">
        <w:rPr>
          <w:rFonts w:cs="Arial"/>
          <w:lang w:val="en-US"/>
        </w:rPr>
        <w:t xml:space="preserve">. </w:t>
      </w:r>
      <w:r w:rsidR="00B718AA" w:rsidRPr="009B6DA3">
        <w:rPr>
          <w:rFonts w:cs="Arial"/>
          <w:lang w:val="en-US"/>
        </w:rPr>
        <w:t xml:space="preserve">The absence of proper machine guarding procedures or protocols in place put workers at significant risk. </w:t>
      </w:r>
      <w:r w:rsidRPr="009B6DA3">
        <w:rPr>
          <w:rFonts w:cs="Arial"/>
          <w:lang w:val="en-US"/>
        </w:rPr>
        <w:br/>
      </w:r>
      <w:r w:rsidRPr="009B6DA3">
        <w:rPr>
          <w:rFonts w:cs="Arial"/>
          <w:lang w:val="en-US"/>
        </w:rPr>
        <w:br/>
      </w:r>
      <w:r w:rsidR="00B718AA" w:rsidRPr="009B6DA3">
        <w:rPr>
          <w:rFonts w:cs="Arial"/>
          <w:lang w:val="en-US"/>
        </w:rPr>
        <w:t xml:space="preserve">In accordance with </w:t>
      </w:r>
      <w:r w:rsidR="00DD1C2C" w:rsidRPr="009B6DA3">
        <w:rPr>
          <w:rFonts w:cs="Arial"/>
          <w:lang w:val="en-US"/>
        </w:rPr>
        <w:t xml:space="preserve">regulation </w:t>
      </w:r>
      <w:r w:rsidR="00B718AA" w:rsidRPr="009B6DA3">
        <w:rPr>
          <w:rFonts w:cs="Arial"/>
          <w:lang w:val="en-US"/>
        </w:rPr>
        <w:t xml:space="preserve">standard 1910.212, employers have a legal obligation to provide machine guarding </w:t>
      </w:r>
      <w:r w:rsidR="00B718AA" w:rsidRPr="009B6DA3">
        <w:rPr>
          <w:rFonts w:cs="Arial"/>
          <w:i/>
          <w:lang w:val="en-US"/>
        </w:rPr>
        <w:t>to protect the operator and other employees in the machine area from hazards</w:t>
      </w:r>
      <w:r w:rsidR="00DD1C2C" w:rsidRPr="009B6DA3">
        <w:rPr>
          <w:rStyle w:val="EndnoteReference"/>
          <w:rFonts w:cs="Arial"/>
          <w:lang w:val="en-US"/>
        </w:rPr>
        <w:endnoteReference w:id="4"/>
      </w:r>
      <w:r w:rsidR="004E394D" w:rsidRPr="009B6DA3">
        <w:rPr>
          <w:rFonts w:cs="Arial"/>
          <w:lang w:val="en-US"/>
        </w:rPr>
        <w:t>.</w:t>
      </w:r>
      <w:r w:rsidR="00672726" w:rsidRPr="009B6DA3">
        <w:rPr>
          <w:rFonts w:cs="Arial"/>
          <w:lang w:val="en-US"/>
        </w:rPr>
        <w:t xml:space="preserve"> </w:t>
      </w:r>
      <w:r w:rsidR="008864F5" w:rsidRPr="009B6DA3">
        <w:rPr>
          <w:rFonts w:cs="Arial"/>
          <w:lang w:val="en-US"/>
        </w:rPr>
        <w:t xml:space="preserve"> Many </w:t>
      </w:r>
      <w:r w:rsidR="00FA6370" w:rsidRPr="009B6DA3">
        <w:rPr>
          <w:rFonts w:cs="Arial"/>
          <w:lang w:val="en-US"/>
        </w:rPr>
        <w:t xml:space="preserve">will assume Lockout/Tagout (LOTO) is the only option – this is a common misconception, and </w:t>
      </w:r>
      <w:r w:rsidR="00E26B0B" w:rsidRPr="009B6DA3">
        <w:rPr>
          <w:rFonts w:cs="Arial"/>
          <w:lang w:val="en-US"/>
        </w:rPr>
        <w:t>this method can be defeated.</w:t>
      </w:r>
      <w:r w:rsidR="00EC5423" w:rsidRPr="009B6DA3">
        <w:rPr>
          <w:rFonts w:cs="Arial"/>
          <w:lang w:val="en-US"/>
        </w:rPr>
        <w:t xml:space="preserve"> </w:t>
      </w:r>
      <w:r w:rsidR="00E26B0B" w:rsidRPr="009B6DA3">
        <w:rPr>
          <w:rFonts w:cs="Arial"/>
          <w:szCs w:val="20"/>
          <w:lang w:val="en-US"/>
        </w:rPr>
        <w:t xml:space="preserve">Trapped key interlock </w:t>
      </w:r>
      <w:r w:rsidR="00E26B0B" w:rsidRPr="009B6DA3">
        <w:rPr>
          <w:rFonts w:cs="Arial"/>
          <w:szCs w:val="20"/>
          <w:lang w:val="en-US"/>
        </w:rPr>
        <w:lastRenderedPageBreak/>
        <w:t xml:space="preserve">(TKI) safety systems force employees to follow </w:t>
      </w:r>
      <w:r w:rsidR="0033379A" w:rsidRPr="009B6DA3">
        <w:rPr>
          <w:rFonts w:cs="Arial"/>
          <w:szCs w:val="20"/>
          <w:lang w:val="en-US"/>
        </w:rPr>
        <w:t xml:space="preserve">a </w:t>
      </w:r>
      <w:r w:rsidR="00E26B0B" w:rsidRPr="009B6DA3">
        <w:rPr>
          <w:rFonts w:cs="Arial"/>
          <w:szCs w:val="20"/>
          <w:lang w:val="en-US"/>
        </w:rPr>
        <w:t xml:space="preserve">pre-determined </w:t>
      </w:r>
      <w:r w:rsidR="009662D7" w:rsidRPr="009B6DA3">
        <w:rPr>
          <w:rFonts w:cs="Arial"/>
          <w:szCs w:val="20"/>
          <w:lang w:val="en-US"/>
        </w:rPr>
        <w:t>sequence of operations</w:t>
      </w:r>
      <w:r w:rsidR="00E26B0B" w:rsidRPr="009B6DA3">
        <w:rPr>
          <w:rFonts w:cs="Arial"/>
          <w:szCs w:val="20"/>
          <w:lang w:val="en-US"/>
        </w:rPr>
        <w:t xml:space="preserve"> and are recommended in the latest ANSI Z244.1 standard.</w:t>
      </w:r>
      <w:r w:rsidR="00E26B0B" w:rsidRPr="009B6DA3">
        <w:rPr>
          <w:rFonts w:cs="Arial"/>
          <w:b/>
          <w:szCs w:val="20"/>
          <w:lang w:val="en-US"/>
        </w:rPr>
        <w:t xml:space="preserve"> </w:t>
      </w:r>
    </w:p>
    <w:p w14:paraId="5584BB45" w14:textId="30FC9359" w:rsidR="005D5A21" w:rsidRPr="009B6DA3" w:rsidRDefault="00F82AE0" w:rsidP="00783A16">
      <w:pPr>
        <w:spacing w:line="360" w:lineRule="auto"/>
        <w:rPr>
          <w:rFonts w:cs="Arial"/>
          <w:b/>
          <w:szCs w:val="20"/>
          <w:lang w:val="en-US"/>
        </w:rPr>
      </w:pPr>
      <w:r w:rsidRPr="009B6DA3">
        <w:rPr>
          <w:rFonts w:cs="Arial"/>
          <w:lang w:val="en-US"/>
        </w:rPr>
        <w:br/>
      </w:r>
      <w:r w:rsidR="001B415D" w:rsidRPr="009B6DA3">
        <w:rPr>
          <w:rFonts w:cs="Arial"/>
          <w:b/>
          <w:szCs w:val="20"/>
          <w:lang w:val="en-US"/>
        </w:rPr>
        <w:t>Improving LOTO – standard ANSI Z244.1</w:t>
      </w:r>
      <w:r w:rsidR="001B415D" w:rsidRPr="009B6DA3">
        <w:rPr>
          <w:rFonts w:cs="Arial"/>
          <w:b/>
          <w:szCs w:val="20"/>
          <w:lang w:val="en-US"/>
        </w:rPr>
        <w:br/>
      </w:r>
      <w:r w:rsidR="00FA6370" w:rsidRPr="009B6DA3">
        <w:rPr>
          <w:rFonts w:cs="Arial"/>
          <w:szCs w:val="20"/>
          <w:lang w:val="en-US"/>
        </w:rPr>
        <w:t>Today’s manufacturing environment is very demanding with increasing pressures on supply chain efficiency and productivity.</w:t>
      </w:r>
      <w:r w:rsidR="000C75EB" w:rsidRPr="009B6DA3">
        <w:rPr>
          <w:rFonts w:cs="Arial"/>
          <w:szCs w:val="20"/>
          <w:lang w:val="en-US"/>
        </w:rPr>
        <w:t xml:space="preserve"> </w:t>
      </w:r>
      <w:r w:rsidR="00783A16" w:rsidRPr="009B6DA3">
        <w:rPr>
          <w:rFonts w:cs="Arial"/>
          <w:szCs w:val="20"/>
          <w:lang w:val="en-US"/>
        </w:rPr>
        <w:t>According to OSHA, approximately 3 million workers service equipment and face the greatest risk of injury if LOTO is not properly implemented</w:t>
      </w:r>
      <w:r w:rsidR="00783A16" w:rsidRPr="009B6DA3">
        <w:rPr>
          <w:rStyle w:val="EndnoteReference"/>
          <w:rFonts w:cs="Arial"/>
          <w:szCs w:val="20"/>
          <w:lang w:val="en-US"/>
        </w:rPr>
        <w:endnoteReference w:id="5"/>
      </w:r>
      <w:r w:rsidR="00783A16" w:rsidRPr="009B6DA3">
        <w:rPr>
          <w:rFonts w:cs="Arial"/>
          <w:szCs w:val="20"/>
          <w:lang w:val="en-US"/>
        </w:rPr>
        <w:t>. Due to the rise in machine guarding and LOTO violations, in 2016 the Z244 Committee made a series of updates to the ANSI/ASSE Z244.1 (2003) standard aiming to reverse the trend and expand the language of the standard to be scalable to meet the needs of both large and small business</w:t>
      </w:r>
      <w:r w:rsidR="0033379A" w:rsidRPr="009B6DA3">
        <w:rPr>
          <w:rFonts w:cs="Arial"/>
          <w:szCs w:val="20"/>
          <w:lang w:val="en-US"/>
        </w:rPr>
        <w:t>es</w:t>
      </w:r>
      <w:r w:rsidR="00783A16" w:rsidRPr="009B6DA3">
        <w:rPr>
          <w:rStyle w:val="EndnoteReference"/>
          <w:rFonts w:cs="Arial"/>
          <w:szCs w:val="20"/>
          <w:lang w:val="en-US"/>
        </w:rPr>
        <w:endnoteReference w:id="6"/>
      </w:r>
      <w:r w:rsidR="00783A16" w:rsidRPr="009B6DA3">
        <w:rPr>
          <w:rFonts w:cs="Arial"/>
          <w:szCs w:val="20"/>
          <w:lang w:val="en-US"/>
        </w:rPr>
        <w:t>.</w:t>
      </w:r>
      <w:r w:rsidR="00783A16" w:rsidRPr="009B6DA3">
        <w:rPr>
          <w:rFonts w:cs="Arial"/>
          <w:b/>
          <w:szCs w:val="20"/>
          <w:lang w:val="en-US"/>
        </w:rPr>
        <w:br/>
      </w:r>
      <w:r w:rsidR="00783A16" w:rsidRPr="009B6DA3">
        <w:rPr>
          <w:rFonts w:cs="Arial"/>
          <w:b/>
          <w:szCs w:val="20"/>
          <w:lang w:val="en-US"/>
        </w:rPr>
        <w:br/>
      </w:r>
      <w:r w:rsidR="00783A16" w:rsidRPr="009B6DA3">
        <w:rPr>
          <w:rFonts w:cs="Arial"/>
          <w:szCs w:val="20"/>
          <w:lang w:val="en-US"/>
        </w:rPr>
        <w:t xml:space="preserve">The 2016 revision focuses on the control of hazardous energy and </w:t>
      </w:r>
      <w:r w:rsidR="00783A16" w:rsidRPr="00360051">
        <w:rPr>
          <w:rFonts w:cs="Arial"/>
          <w:szCs w:val="20"/>
          <w:lang w:val="en-US"/>
        </w:rPr>
        <w:t>alternative methods to protect workers aga</w:t>
      </w:r>
      <w:r w:rsidR="002A57B3" w:rsidRPr="00360051">
        <w:rPr>
          <w:rFonts w:cs="Arial"/>
          <w:szCs w:val="20"/>
          <w:lang w:val="en-US"/>
        </w:rPr>
        <w:t>inst the startup of machinery. T</w:t>
      </w:r>
      <w:r w:rsidR="00783A16" w:rsidRPr="00360051">
        <w:rPr>
          <w:rFonts w:cs="Arial"/>
          <w:szCs w:val="20"/>
          <w:lang w:val="en-US"/>
        </w:rPr>
        <w:t>he changes were made to improve hazardous energy control procedures and guidance for working w</w:t>
      </w:r>
      <w:r w:rsidR="00A92D9D">
        <w:rPr>
          <w:rFonts w:cs="Arial"/>
          <w:szCs w:val="20"/>
          <w:lang w:val="en-US"/>
        </w:rPr>
        <w:t xml:space="preserve">ith contractors (Section 7). </w:t>
      </w:r>
      <w:r w:rsidR="00FA5819" w:rsidRPr="00360051">
        <w:rPr>
          <w:rFonts w:cs="Arial"/>
          <w:szCs w:val="20"/>
          <w:lang w:val="en-US"/>
        </w:rPr>
        <w:t xml:space="preserve">The revision </w:t>
      </w:r>
      <w:r w:rsidR="00783A16" w:rsidRPr="00360051">
        <w:rPr>
          <w:rFonts w:cs="Arial"/>
          <w:szCs w:val="20"/>
          <w:lang w:val="en-US"/>
        </w:rPr>
        <w:t>more clearly define</w:t>
      </w:r>
      <w:r w:rsidR="00FA5819" w:rsidRPr="00360051">
        <w:rPr>
          <w:rFonts w:cs="Arial"/>
          <w:szCs w:val="20"/>
          <w:lang w:val="en-US"/>
        </w:rPr>
        <w:t>s</w:t>
      </w:r>
      <w:r w:rsidR="00783A16" w:rsidRPr="00360051">
        <w:rPr>
          <w:rFonts w:cs="Arial"/>
          <w:szCs w:val="20"/>
          <w:lang w:val="en-US"/>
        </w:rPr>
        <w:t xml:space="preserve"> alternative</w:t>
      </w:r>
      <w:r w:rsidR="00FA5819" w:rsidRPr="00360051">
        <w:rPr>
          <w:rFonts w:cs="Arial"/>
          <w:szCs w:val="20"/>
          <w:lang w:val="en-US"/>
        </w:rPr>
        <w:t xml:space="preserve"> risk reduction</w:t>
      </w:r>
      <w:r w:rsidR="00783A16" w:rsidRPr="00360051">
        <w:rPr>
          <w:rFonts w:cs="Arial"/>
          <w:szCs w:val="20"/>
          <w:lang w:val="en-US"/>
        </w:rPr>
        <w:t xml:space="preserve"> </w:t>
      </w:r>
      <w:r w:rsidR="00FA5819" w:rsidRPr="00360051">
        <w:rPr>
          <w:rFonts w:cs="Arial"/>
          <w:szCs w:val="20"/>
          <w:lang w:val="en-US"/>
        </w:rPr>
        <w:t>methods</w:t>
      </w:r>
      <w:r w:rsidR="00783A16" w:rsidRPr="00360051">
        <w:rPr>
          <w:rFonts w:cs="Arial"/>
          <w:szCs w:val="20"/>
          <w:lang w:val="en-US"/>
        </w:rPr>
        <w:t xml:space="preserve"> of LOTO (Section 8)</w:t>
      </w:r>
      <w:r w:rsidR="00FA5819" w:rsidRPr="00360051">
        <w:rPr>
          <w:rFonts w:cs="Arial"/>
          <w:szCs w:val="20"/>
          <w:lang w:val="en-US"/>
        </w:rPr>
        <w:t xml:space="preserve">, identifying trapped key interlocks </w:t>
      </w:r>
      <w:r w:rsidR="00783A16" w:rsidRPr="00360051">
        <w:rPr>
          <w:rFonts w:cs="Arial"/>
          <w:szCs w:val="20"/>
          <w:lang w:val="en-US"/>
        </w:rPr>
        <w:t>as an alternative method to ensure all residual motion and energy is completely expelled once the machine has been isolated – removing the risk of spontaneous startup</w:t>
      </w:r>
      <w:r w:rsidR="00783A16" w:rsidRPr="00360051">
        <w:rPr>
          <w:rStyle w:val="EndnoteReference"/>
          <w:rFonts w:cs="Arial"/>
          <w:szCs w:val="20"/>
          <w:lang w:val="en-US"/>
        </w:rPr>
        <w:endnoteReference w:id="7"/>
      </w:r>
      <w:r w:rsidR="00783A16" w:rsidRPr="00360051">
        <w:rPr>
          <w:rFonts w:cs="Arial"/>
          <w:szCs w:val="20"/>
          <w:lang w:val="en-US"/>
        </w:rPr>
        <w:t>.</w:t>
      </w:r>
      <w:bookmarkStart w:id="0" w:name="_GoBack"/>
      <w:bookmarkEnd w:id="0"/>
    </w:p>
    <w:p w14:paraId="5832AFF1" w14:textId="23FB0B7D" w:rsidR="003742E0" w:rsidRPr="00360051" w:rsidRDefault="00672726" w:rsidP="007369E9">
      <w:pPr>
        <w:spacing w:line="360" w:lineRule="auto"/>
        <w:rPr>
          <w:rFonts w:cs="Arial"/>
          <w:b/>
          <w:lang w:val="en-US"/>
        </w:rPr>
      </w:pPr>
      <w:r w:rsidRPr="009B6DA3">
        <w:rPr>
          <w:rFonts w:cs="Arial"/>
          <w:b/>
          <w:lang w:val="en-US"/>
        </w:rPr>
        <w:lastRenderedPageBreak/>
        <w:br/>
      </w:r>
      <w:r w:rsidR="00783A16" w:rsidRPr="009B6DA3">
        <w:rPr>
          <w:rFonts w:cs="Arial"/>
          <w:b/>
          <w:lang w:val="en-US"/>
        </w:rPr>
        <w:t>Machine guarding – what are the options?</w:t>
      </w:r>
      <w:r w:rsidR="00891097" w:rsidRPr="009B6DA3">
        <w:rPr>
          <w:rFonts w:cs="Arial"/>
          <w:b/>
          <w:lang w:val="en-US"/>
        </w:rPr>
        <w:br/>
      </w:r>
      <w:r w:rsidR="00B66C37" w:rsidRPr="009B6DA3">
        <w:rPr>
          <w:rFonts w:cs="Arial"/>
          <w:szCs w:val="20"/>
          <w:lang w:val="en-US"/>
        </w:rPr>
        <w:t xml:space="preserve">Isolating equipment or machinery is essential in order for workers to carry out important work maintaining, cleaning or repairing. Workers </w:t>
      </w:r>
      <w:r w:rsidR="003742E0" w:rsidRPr="009B6DA3">
        <w:rPr>
          <w:rFonts w:cs="Arial"/>
          <w:szCs w:val="20"/>
          <w:lang w:val="en-US"/>
        </w:rPr>
        <w:t>risk</w:t>
      </w:r>
      <w:r w:rsidR="00B66C37" w:rsidRPr="009B6DA3">
        <w:rPr>
          <w:rFonts w:cs="Arial"/>
          <w:szCs w:val="20"/>
          <w:lang w:val="en-US"/>
        </w:rPr>
        <w:t xml:space="preserve"> serious or fatal injures if machinery 'energizes' </w:t>
      </w:r>
      <w:r w:rsidR="00B66C37" w:rsidRPr="00360051">
        <w:rPr>
          <w:rFonts w:cs="Arial"/>
          <w:szCs w:val="20"/>
          <w:lang w:val="en-US"/>
        </w:rPr>
        <w:t>unexpectedly.</w:t>
      </w:r>
    </w:p>
    <w:p w14:paraId="27225DE1" w14:textId="601812DC" w:rsidR="00FA5819" w:rsidRPr="00360051" w:rsidRDefault="00683EA1" w:rsidP="007369E9">
      <w:pPr>
        <w:spacing w:line="360" w:lineRule="auto"/>
        <w:rPr>
          <w:rFonts w:cs="Arial"/>
          <w:szCs w:val="20"/>
          <w:lang w:val="en-US"/>
        </w:rPr>
      </w:pPr>
      <w:r w:rsidRPr="00360051">
        <w:rPr>
          <w:rFonts w:cs="Arial"/>
          <w:lang w:val="en-US"/>
        </w:rPr>
        <w:t>LOTO addresses the need to isolate equipment</w:t>
      </w:r>
      <w:r w:rsidR="00FF6E88" w:rsidRPr="00360051">
        <w:rPr>
          <w:rFonts w:cs="Arial"/>
          <w:lang w:val="en-US"/>
        </w:rPr>
        <w:t xml:space="preserve"> and</w:t>
      </w:r>
      <w:r w:rsidR="003742E0" w:rsidRPr="00360051">
        <w:rPr>
          <w:rFonts w:cs="Arial"/>
          <w:lang w:val="en-US"/>
        </w:rPr>
        <w:t>,</w:t>
      </w:r>
      <w:r w:rsidR="00FF6E88" w:rsidRPr="00360051">
        <w:rPr>
          <w:rFonts w:cs="Arial"/>
          <w:lang w:val="en-US"/>
        </w:rPr>
        <w:t xml:space="preserve"> a</w:t>
      </w:r>
      <w:r w:rsidRPr="00360051">
        <w:rPr>
          <w:rFonts w:cs="Arial"/>
          <w:lang w:val="en-US"/>
        </w:rPr>
        <w:t xml:space="preserve">s a </w:t>
      </w:r>
      <w:r w:rsidR="00FA5819" w:rsidRPr="00360051">
        <w:rPr>
          <w:rFonts w:cs="Arial"/>
          <w:lang w:val="en-US"/>
        </w:rPr>
        <w:t xml:space="preserve">written </w:t>
      </w:r>
      <w:r w:rsidRPr="00360051">
        <w:rPr>
          <w:rFonts w:cs="Arial"/>
          <w:lang w:val="en-US"/>
        </w:rPr>
        <w:t>process</w:t>
      </w:r>
      <w:r w:rsidR="003742E0" w:rsidRPr="00360051">
        <w:rPr>
          <w:rFonts w:cs="Arial"/>
          <w:lang w:val="en-US"/>
        </w:rPr>
        <w:t>,</w:t>
      </w:r>
      <w:r w:rsidRPr="00360051">
        <w:rPr>
          <w:rFonts w:cs="Arial"/>
          <w:lang w:val="en-US"/>
        </w:rPr>
        <w:t xml:space="preserve"> </w:t>
      </w:r>
      <w:r w:rsidRPr="00360051">
        <w:rPr>
          <w:shd w:val="clear" w:color="auto" w:fill="FFFFFF"/>
        </w:rPr>
        <w:t xml:space="preserve">allows safe personnel access when maintenance of machinery is required. </w:t>
      </w:r>
      <w:r w:rsidR="00FA5819" w:rsidRPr="00360051">
        <w:rPr>
          <w:shd w:val="clear" w:color="auto" w:fill="FFFFFF"/>
        </w:rPr>
        <w:t>However, this process is susceptible to human error;</w:t>
      </w:r>
      <w:r w:rsidR="004D134D" w:rsidRPr="00360051">
        <w:rPr>
          <w:rFonts w:cs="Arial"/>
          <w:szCs w:val="20"/>
          <w:lang w:val="en-US"/>
        </w:rPr>
        <w:t xml:space="preserve"> tempting workers to bypass safety practices, putting themselves and their colleagues at risk.</w:t>
      </w:r>
      <w:r w:rsidR="00970884" w:rsidRPr="00360051">
        <w:rPr>
          <w:rFonts w:cs="Arial"/>
          <w:szCs w:val="20"/>
          <w:lang w:val="en-US"/>
        </w:rPr>
        <w:t xml:space="preserve"> </w:t>
      </w:r>
    </w:p>
    <w:p w14:paraId="18FF38D0" w14:textId="646C3B0D" w:rsidR="00672726" w:rsidRPr="009B6DA3" w:rsidRDefault="0013376D" w:rsidP="007369E9">
      <w:pPr>
        <w:spacing w:line="360" w:lineRule="auto"/>
        <w:rPr>
          <w:rFonts w:cs="Arial"/>
          <w:szCs w:val="20"/>
          <w:lang w:val="en-US"/>
        </w:rPr>
      </w:pPr>
      <w:r w:rsidRPr="00360051">
        <w:rPr>
          <w:rFonts w:cs="Arial"/>
          <w:szCs w:val="20"/>
          <w:lang w:val="en-US"/>
        </w:rPr>
        <w:t xml:space="preserve">Trapped key interlock (TKI) </w:t>
      </w:r>
      <w:r w:rsidR="006769B6" w:rsidRPr="00360051">
        <w:rPr>
          <w:rFonts w:cs="Arial"/>
          <w:szCs w:val="20"/>
          <w:lang w:val="en-US"/>
        </w:rPr>
        <w:t>safety systems</w:t>
      </w:r>
      <w:r w:rsidR="009662D7" w:rsidRPr="00360051">
        <w:rPr>
          <w:rFonts w:cs="Arial"/>
          <w:szCs w:val="20"/>
          <w:lang w:val="en-US"/>
        </w:rPr>
        <w:t xml:space="preserve"> remove the temptation of bypassing procedures and eliminates human error.  Th</w:t>
      </w:r>
      <w:r w:rsidR="006769B6" w:rsidRPr="00360051">
        <w:rPr>
          <w:rFonts w:cs="Arial"/>
          <w:szCs w:val="20"/>
          <w:lang w:val="en-US"/>
        </w:rPr>
        <w:t>is</w:t>
      </w:r>
      <w:r w:rsidR="00932F4C" w:rsidRPr="00360051">
        <w:rPr>
          <w:rFonts w:cs="Arial"/>
          <w:szCs w:val="20"/>
          <w:lang w:val="en-US"/>
        </w:rPr>
        <w:t xml:space="preserve"> </w:t>
      </w:r>
      <w:r w:rsidR="006769B6" w:rsidRPr="009B6DA3">
        <w:rPr>
          <w:rFonts w:cs="Arial"/>
          <w:szCs w:val="20"/>
          <w:lang w:val="en-US"/>
        </w:rPr>
        <w:t>alternative protection measure</w:t>
      </w:r>
      <w:r w:rsidR="009662D7" w:rsidRPr="009B6DA3">
        <w:rPr>
          <w:rFonts w:cs="Arial"/>
          <w:szCs w:val="20"/>
          <w:lang w:val="en-US"/>
        </w:rPr>
        <w:t xml:space="preserve"> has enhanced the protection of</w:t>
      </w:r>
      <w:r w:rsidR="008F548C" w:rsidRPr="009B6DA3">
        <w:rPr>
          <w:rFonts w:cs="Arial"/>
          <w:szCs w:val="20"/>
          <w:lang w:val="en-US"/>
        </w:rPr>
        <w:t xml:space="preserve"> workers in the United States since 1932</w:t>
      </w:r>
      <w:r w:rsidR="009662D7" w:rsidRPr="009B6DA3">
        <w:rPr>
          <w:rFonts w:cs="Arial"/>
          <w:szCs w:val="20"/>
          <w:lang w:val="en-US"/>
        </w:rPr>
        <w:t xml:space="preserve"> and prevented injury and death for countless workers</w:t>
      </w:r>
      <w:r w:rsidR="009662D7" w:rsidRPr="009B6DA3">
        <w:rPr>
          <w:rStyle w:val="EndnoteReference"/>
          <w:rFonts w:cs="Arial"/>
          <w:szCs w:val="20"/>
          <w:lang w:val="en-US"/>
        </w:rPr>
        <w:endnoteReference w:id="8"/>
      </w:r>
      <w:r w:rsidR="009662D7" w:rsidRPr="009B6DA3">
        <w:rPr>
          <w:rFonts w:cs="Arial"/>
          <w:szCs w:val="20"/>
          <w:lang w:val="en-US"/>
        </w:rPr>
        <w:t>.</w:t>
      </w:r>
      <w:r w:rsidR="006769B6" w:rsidRPr="009B6DA3">
        <w:rPr>
          <w:rFonts w:cs="Arial"/>
          <w:szCs w:val="20"/>
          <w:lang w:val="en-US"/>
        </w:rPr>
        <w:t xml:space="preserve"> In effect TKI is </w:t>
      </w:r>
      <w:r w:rsidR="00932F4C" w:rsidRPr="009B6DA3">
        <w:rPr>
          <w:rFonts w:cs="Arial"/>
          <w:szCs w:val="20"/>
          <w:lang w:val="en-US"/>
        </w:rPr>
        <w:t>the ad</w:t>
      </w:r>
      <w:r w:rsidR="006A64DD" w:rsidRPr="009B6DA3">
        <w:rPr>
          <w:rFonts w:cs="Arial"/>
          <w:szCs w:val="20"/>
          <w:lang w:val="en-US"/>
        </w:rPr>
        <w:t xml:space="preserve">vanced method of Lockout/Tagout, going </w:t>
      </w:r>
      <w:r w:rsidR="006769B6" w:rsidRPr="009B6DA3">
        <w:rPr>
          <w:rFonts w:cs="Arial"/>
          <w:szCs w:val="20"/>
          <w:lang w:val="en-US"/>
        </w:rPr>
        <w:t xml:space="preserve">above and beyond </w:t>
      </w:r>
      <w:r w:rsidR="00932F4C" w:rsidRPr="009B6DA3">
        <w:rPr>
          <w:rFonts w:cs="Arial"/>
          <w:szCs w:val="20"/>
          <w:lang w:val="en-US"/>
        </w:rPr>
        <w:t>to ensure</w:t>
      </w:r>
      <w:r w:rsidR="006769B6" w:rsidRPr="009B6DA3">
        <w:rPr>
          <w:rFonts w:cs="Arial"/>
          <w:szCs w:val="20"/>
          <w:lang w:val="en-US"/>
        </w:rPr>
        <w:t xml:space="preserve"> safety procedures are followed.</w:t>
      </w:r>
      <w:r w:rsidR="00291CDA" w:rsidRPr="009B6DA3">
        <w:rPr>
          <w:rFonts w:cs="Arial"/>
          <w:szCs w:val="20"/>
          <w:lang w:val="en-US"/>
        </w:rPr>
        <w:t xml:space="preserve"> </w:t>
      </w:r>
    </w:p>
    <w:p w14:paraId="53D792D3" w14:textId="7E1B81A5" w:rsidR="008F548C" w:rsidRPr="009B6DA3" w:rsidRDefault="00891097" w:rsidP="00672726">
      <w:pPr>
        <w:spacing w:line="360" w:lineRule="auto"/>
        <w:rPr>
          <w:rFonts w:cs="Arial"/>
          <w:b/>
          <w:szCs w:val="20"/>
          <w:lang w:val="en-US"/>
        </w:rPr>
      </w:pPr>
      <w:r w:rsidRPr="009B6DA3">
        <w:rPr>
          <w:rFonts w:cs="Arial"/>
          <w:b/>
          <w:szCs w:val="20"/>
          <w:lang w:val="en-US"/>
        </w:rPr>
        <w:br/>
      </w:r>
      <w:r w:rsidR="00B66C37" w:rsidRPr="009B6DA3">
        <w:rPr>
          <w:rFonts w:cs="Arial"/>
          <w:b/>
          <w:szCs w:val="20"/>
          <w:lang w:val="en-US"/>
        </w:rPr>
        <w:t>TKI- how does it work?</w:t>
      </w:r>
      <w:r w:rsidRPr="009B6DA3">
        <w:rPr>
          <w:rFonts w:cs="Arial"/>
          <w:b/>
          <w:szCs w:val="20"/>
          <w:lang w:val="en-US"/>
        </w:rPr>
        <w:br/>
      </w:r>
      <w:r w:rsidR="009662D7" w:rsidRPr="009B6DA3">
        <w:rPr>
          <w:rFonts w:cs="Arial"/>
          <w:szCs w:val="20"/>
          <w:lang w:val="en-US"/>
        </w:rPr>
        <w:t xml:space="preserve">An initiating key is trapped while the machine is running.  To start the process, the </w:t>
      </w:r>
      <w:r w:rsidR="005D5A21" w:rsidRPr="009B6DA3">
        <w:rPr>
          <w:rFonts w:cs="Arial"/>
          <w:szCs w:val="20"/>
          <w:lang w:val="en-US"/>
        </w:rPr>
        <w:t xml:space="preserve">key </w:t>
      </w:r>
      <w:r w:rsidR="009662D7" w:rsidRPr="009B6DA3">
        <w:rPr>
          <w:rFonts w:cs="Arial"/>
          <w:szCs w:val="20"/>
          <w:lang w:val="en-US"/>
        </w:rPr>
        <w:t>is turned &amp; removed, engaging the lock bolt and isolating the power</w:t>
      </w:r>
      <w:r w:rsidR="005D5A21" w:rsidRPr="009B6DA3">
        <w:rPr>
          <w:rFonts w:cs="Arial"/>
          <w:szCs w:val="20"/>
          <w:lang w:val="en-US"/>
        </w:rPr>
        <w:t xml:space="preserve">. This key </w:t>
      </w:r>
      <w:r w:rsidR="009662D7" w:rsidRPr="009B6DA3">
        <w:rPr>
          <w:rFonts w:cs="Arial"/>
          <w:szCs w:val="20"/>
          <w:lang w:val="en-US"/>
        </w:rPr>
        <w:t>then engages the associated access interlock, allowing</w:t>
      </w:r>
      <w:r w:rsidR="005D5A21" w:rsidRPr="009B6DA3">
        <w:rPr>
          <w:rFonts w:cs="Arial"/>
          <w:szCs w:val="20"/>
          <w:lang w:val="en-US"/>
        </w:rPr>
        <w:t xml:space="preserve"> the individual access to the area </w:t>
      </w:r>
      <w:r w:rsidR="009662D7" w:rsidRPr="009B6DA3">
        <w:rPr>
          <w:rFonts w:cs="Arial"/>
          <w:szCs w:val="20"/>
          <w:lang w:val="en-US"/>
        </w:rPr>
        <w:t>safely.</w:t>
      </w:r>
      <w:r w:rsidR="005D5A21" w:rsidRPr="009B6DA3">
        <w:rPr>
          <w:rFonts w:cs="Arial"/>
          <w:szCs w:val="20"/>
          <w:lang w:val="en-US"/>
        </w:rPr>
        <w:t xml:space="preserve"> </w:t>
      </w:r>
      <w:r w:rsidR="009662D7" w:rsidRPr="009B6DA3">
        <w:rPr>
          <w:rFonts w:cs="Arial"/>
          <w:szCs w:val="20"/>
          <w:lang w:val="en-US"/>
        </w:rPr>
        <w:lastRenderedPageBreak/>
        <w:t xml:space="preserve">The key </w:t>
      </w:r>
      <w:r w:rsidR="005D5A21" w:rsidRPr="009B6DA3">
        <w:rPr>
          <w:rFonts w:cs="Arial"/>
          <w:szCs w:val="20"/>
          <w:lang w:val="en-US"/>
        </w:rPr>
        <w:t xml:space="preserve">remains trapped in </w:t>
      </w:r>
      <w:r w:rsidR="009662D7" w:rsidRPr="009B6DA3">
        <w:rPr>
          <w:rFonts w:cs="Arial"/>
          <w:szCs w:val="20"/>
          <w:lang w:val="en-US"/>
        </w:rPr>
        <w:t xml:space="preserve">the access lock </w:t>
      </w:r>
      <w:r w:rsidR="005D5A21" w:rsidRPr="009B6DA3">
        <w:rPr>
          <w:rFonts w:cs="Arial"/>
          <w:szCs w:val="20"/>
          <w:lang w:val="en-US"/>
        </w:rPr>
        <w:t>while the gate or door is opened. The key can only be removed when the gate or door has been shut</w:t>
      </w:r>
      <w:r w:rsidR="009662D7" w:rsidRPr="009B6DA3">
        <w:rPr>
          <w:rFonts w:cs="Arial"/>
          <w:szCs w:val="20"/>
          <w:lang w:val="en-US"/>
        </w:rPr>
        <w:t>, then following back to the point of power isolation to restart the machine</w:t>
      </w:r>
      <w:r w:rsidR="005D5A21" w:rsidRPr="009B6DA3">
        <w:rPr>
          <w:rFonts w:cs="Arial"/>
          <w:szCs w:val="20"/>
          <w:lang w:val="en-US"/>
        </w:rPr>
        <w:t>.</w:t>
      </w:r>
      <w:r w:rsidR="00672726" w:rsidRPr="009B6DA3">
        <w:rPr>
          <w:rFonts w:cs="Arial"/>
          <w:szCs w:val="20"/>
          <w:lang w:val="en-US"/>
        </w:rPr>
        <w:br/>
      </w:r>
      <w:r w:rsidR="00672726" w:rsidRPr="009B6DA3">
        <w:rPr>
          <w:rFonts w:cs="Arial"/>
          <w:szCs w:val="20"/>
          <w:lang w:val="en-US"/>
        </w:rPr>
        <w:br/>
      </w:r>
      <w:r w:rsidR="005D5A21" w:rsidRPr="009B6DA3">
        <w:rPr>
          <w:rFonts w:cs="Arial"/>
          <w:szCs w:val="20"/>
          <w:lang w:val="en-US"/>
        </w:rPr>
        <w:t>When two or more trapped key interlocks are used in a safety application, an interlock system is formed. An interlock system is a group or series of trapped key interlocking devices applied to associated equipment or guarding in a way that allows operation of the equipment only in a safe, predetermined sequence of operations. TKI safety systems can be d</w:t>
      </w:r>
      <w:r w:rsidR="009B6DA3" w:rsidRPr="009B6DA3">
        <w:rPr>
          <w:rFonts w:cs="Arial"/>
          <w:szCs w:val="20"/>
          <w:lang w:val="en-US"/>
        </w:rPr>
        <w:t>esigned for both linear and non-</w:t>
      </w:r>
      <w:r w:rsidR="005D5A21" w:rsidRPr="009B6DA3">
        <w:rPr>
          <w:rFonts w:cs="Arial"/>
          <w:szCs w:val="20"/>
          <w:lang w:val="en-US"/>
        </w:rPr>
        <w:t xml:space="preserve">linear sequential safety </w:t>
      </w:r>
      <w:r w:rsidR="00B66C37" w:rsidRPr="009B6DA3">
        <w:rPr>
          <w:rFonts w:cs="Arial"/>
          <w:szCs w:val="20"/>
          <w:lang w:val="en-US"/>
        </w:rPr>
        <w:t xml:space="preserve">operations, mounted permanently on the equipment ensuring that a process is followed and cannot be sidestepped or cut short. </w:t>
      </w:r>
      <w:r w:rsidR="005D5A21" w:rsidRPr="009B6DA3">
        <w:rPr>
          <w:rFonts w:cs="Arial"/>
          <w:szCs w:val="20"/>
          <w:lang w:val="en-US"/>
        </w:rPr>
        <w:t>When properly applied, a trapped key interlock safety system makes a significant contribution to worker safety.</w:t>
      </w:r>
      <w:r w:rsidR="008F548C" w:rsidRPr="009B6DA3">
        <w:rPr>
          <w:rFonts w:cs="Arial"/>
          <w:szCs w:val="20"/>
          <w:lang w:val="en-US"/>
        </w:rPr>
        <w:br/>
      </w:r>
      <w:r w:rsidR="008F548C" w:rsidRPr="009B6DA3">
        <w:rPr>
          <w:rFonts w:cs="Arial"/>
          <w:szCs w:val="20"/>
          <w:lang w:val="en-US"/>
        </w:rPr>
        <w:br/>
        <w:t>Five key reasons to implement a trap</w:t>
      </w:r>
      <w:r w:rsidR="007369E9" w:rsidRPr="009B6DA3">
        <w:rPr>
          <w:rFonts w:cs="Arial"/>
          <w:szCs w:val="20"/>
          <w:lang w:val="en-US"/>
        </w:rPr>
        <w:t>ped key interlock solution are:</w:t>
      </w:r>
    </w:p>
    <w:p w14:paraId="10289AEC" w14:textId="77777777" w:rsidR="008F548C" w:rsidRPr="009B6DA3" w:rsidRDefault="008F548C" w:rsidP="008F548C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  <w:lang w:val="en-US"/>
        </w:rPr>
      </w:pPr>
      <w:r w:rsidRPr="009B6DA3">
        <w:rPr>
          <w:rFonts w:cs="Arial"/>
          <w:szCs w:val="20"/>
          <w:lang w:val="en-US"/>
        </w:rPr>
        <w:t>Fulfills ANSI Z244.1 requirements for machine guarding</w:t>
      </w:r>
    </w:p>
    <w:p w14:paraId="00CC034A" w14:textId="77777777" w:rsidR="008F548C" w:rsidRPr="009B6DA3" w:rsidRDefault="008F548C" w:rsidP="008F548C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  <w:lang w:val="en-US"/>
        </w:rPr>
      </w:pPr>
      <w:r w:rsidRPr="009B6DA3">
        <w:rPr>
          <w:rFonts w:cs="Arial"/>
          <w:szCs w:val="20"/>
          <w:lang w:val="en-US"/>
        </w:rPr>
        <w:t>Delivers an enhanced level of protection vs. LOTO</w:t>
      </w:r>
    </w:p>
    <w:p w14:paraId="2DA6E029" w14:textId="77777777" w:rsidR="008F548C" w:rsidRPr="009B6DA3" w:rsidRDefault="008F548C" w:rsidP="008F548C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  <w:lang w:val="en-US"/>
        </w:rPr>
      </w:pPr>
      <w:r w:rsidRPr="009B6DA3">
        <w:rPr>
          <w:rFonts w:cs="Arial"/>
          <w:szCs w:val="20"/>
          <w:lang w:val="en-US"/>
        </w:rPr>
        <w:t>Removes the dangers of short cuts and mistakes</w:t>
      </w:r>
    </w:p>
    <w:p w14:paraId="75F25A29" w14:textId="77777777" w:rsidR="008F548C" w:rsidRPr="009B6DA3" w:rsidRDefault="008F548C" w:rsidP="008F548C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  <w:lang w:val="en-US"/>
        </w:rPr>
      </w:pPr>
      <w:r w:rsidRPr="009B6DA3">
        <w:rPr>
          <w:rFonts w:cs="Arial"/>
          <w:szCs w:val="20"/>
          <w:lang w:val="en-US"/>
        </w:rPr>
        <w:t>Withstands harsh environments for decades of protection with a robust design</w:t>
      </w:r>
    </w:p>
    <w:p w14:paraId="42867BA6" w14:textId="77777777" w:rsidR="00C8637C" w:rsidRPr="009B6DA3" w:rsidRDefault="008F548C" w:rsidP="007862A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  <w:lang w:val="en-US"/>
        </w:rPr>
      </w:pPr>
      <w:r w:rsidRPr="009B6DA3">
        <w:rPr>
          <w:rFonts w:cs="Arial"/>
          <w:szCs w:val="20"/>
          <w:lang w:val="en-US"/>
        </w:rPr>
        <w:t>Ensures no worker left behind in full body access areas with the use of a personnel key</w:t>
      </w:r>
    </w:p>
    <w:p w14:paraId="102C8E95" w14:textId="503D6EE7" w:rsidR="007862A9" w:rsidRPr="007862A9" w:rsidRDefault="00891097" w:rsidP="007862A9">
      <w:pPr>
        <w:spacing w:line="360" w:lineRule="auto"/>
        <w:rPr>
          <w:rFonts w:cs="Arial"/>
          <w:szCs w:val="20"/>
          <w:lang w:val="en-US"/>
        </w:rPr>
      </w:pPr>
      <w:r w:rsidRPr="009B6DA3">
        <w:rPr>
          <w:rFonts w:cs="Arial"/>
          <w:b/>
          <w:szCs w:val="20"/>
          <w:lang w:val="en-US"/>
        </w:rPr>
        <w:lastRenderedPageBreak/>
        <w:br/>
      </w:r>
      <w:r w:rsidR="00E2039E" w:rsidRPr="009B6DA3">
        <w:rPr>
          <w:rFonts w:cs="Arial"/>
          <w:b/>
          <w:szCs w:val="20"/>
          <w:lang w:val="en-US"/>
        </w:rPr>
        <w:t xml:space="preserve">In conclusion </w:t>
      </w:r>
      <w:r w:rsidRPr="009B6DA3">
        <w:rPr>
          <w:rFonts w:cs="Arial"/>
          <w:szCs w:val="20"/>
          <w:lang w:val="en-US"/>
        </w:rPr>
        <w:br/>
      </w:r>
      <w:r w:rsidR="007862A9" w:rsidRPr="009B6DA3">
        <w:rPr>
          <w:rFonts w:cs="Arial"/>
          <w:szCs w:val="20"/>
          <w:lang w:val="en-US"/>
        </w:rPr>
        <w:t>TKI</w:t>
      </w:r>
      <w:r w:rsidR="0085510A" w:rsidRPr="009B6DA3">
        <w:rPr>
          <w:rFonts w:cs="Arial"/>
          <w:szCs w:val="20"/>
          <w:lang w:val="en-US"/>
        </w:rPr>
        <w:t xml:space="preserve"> safety systems are used to eliminate human erro</w:t>
      </w:r>
      <w:r w:rsidR="007862A9" w:rsidRPr="009B6DA3">
        <w:rPr>
          <w:rFonts w:cs="Arial"/>
          <w:szCs w:val="20"/>
          <w:lang w:val="en-US"/>
        </w:rPr>
        <w:t xml:space="preserve">r, preventing a worker </w:t>
      </w:r>
      <w:r w:rsidR="0085510A" w:rsidRPr="009B6DA3">
        <w:rPr>
          <w:rFonts w:cs="Arial"/>
          <w:szCs w:val="20"/>
          <w:lang w:val="en-US"/>
        </w:rPr>
        <w:t>from performing an unauthorized or unsafe operation</w:t>
      </w:r>
      <w:r w:rsidR="007862A9" w:rsidRPr="009B6DA3">
        <w:rPr>
          <w:rFonts w:cs="Arial"/>
          <w:szCs w:val="20"/>
          <w:lang w:val="en-US"/>
        </w:rPr>
        <w:t xml:space="preserve"> when machinery or equipment is otherwise engaged</w:t>
      </w:r>
      <w:r w:rsidR="0085510A" w:rsidRPr="009B6DA3">
        <w:rPr>
          <w:rFonts w:cs="Arial"/>
          <w:szCs w:val="20"/>
          <w:lang w:val="en-US"/>
        </w:rPr>
        <w:t>. TKI safety sys</w:t>
      </w:r>
      <w:r w:rsidR="002A57B3" w:rsidRPr="009B6DA3">
        <w:rPr>
          <w:rFonts w:cs="Arial"/>
          <w:szCs w:val="20"/>
          <w:lang w:val="en-US"/>
        </w:rPr>
        <w:t>tems are implemented to protect</w:t>
      </w:r>
      <w:r w:rsidR="0085510A" w:rsidRPr="009B6DA3">
        <w:rPr>
          <w:rFonts w:cs="Arial"/>
          <w:szCs w:val="20"/>
          <w:lang w:val="en-US"/>
        </w:rPr>
        <w:t xml:space="preserve"> lives, equipment, operating processes, and production.</w:t>
      </w:r>
      <w:r w:rsidR="00291CDA" w:rsidRPr="009B6DA3">
        <w:t xml:space="preserve"> It is the goal of every company to create a safe working environment for their emplo</w:t>
      </w:r>
      <w:r w:rsidR="002A57B3" w:rsidRPr="009B6DA3">
        <w:t>yees and a TKI safety system should</w:t>
      </w:r>
      <w:r w:rsidR="006A64DD" w:rsidRPr="009B6DA3">
        <w:t xml:space="preserve"> be an instrumental part of such </w:t>
      </w:r>
      <w:r w:rsidR="00291CDA" w:rsidRPr="009B6DA3">
        <w:t>safety procedures.</w:t>
      </w:r>
      <w:r w:rsidR="007862A9" w:rsidRPr="009B6DA3">
        <w:rPr>
          <w:rFonts w:cs="Arial"/>
          <w:szCs w:val="20"/>
          <w:lang w:val="en-US"/>
        </w:rPr>
        <w:br/>
      </w:r>
      <w:r w:rsidR="007862A9" w:rsidRPr="009B6DA3">
        <w:rPr>
          <w:rFonts w:cs="Arial"/>
          <w:szCs w:val="20"/>
          <w:lang w:val="en-US"/>
        </w:rPr>
        <w:br/>
        <w:t xml:space="preserve">For more information on how trapped key interlock systems can benefit your safety procedures and help to </w:t>
      </w:r>
      <w:r w:rsidR="007862A9" w:rsidRPr="009B6DA3">
        <w:t>create a safe</w:t>
      </w:r>
      <w:r w:rsidR="000C3A60" w:rsidRPr="009B6DA3">
        <w:t>r</w:t>
      </w:r>
      <w:r w:rsidR="007862A9" w:rsidRPr="009B6DA3">
        <w:t xml:space="preserve"> working environment</w:t>
      </w:r>
      <w:r w:rsidR="000C3A60" w:rsidRPr="009B6DA3">
        <w:t xml:space="preserve"> for your employees</w:t>
      </w:r>
      <w:r w:rsidR="007862A9" w:rsidRPr="009B6DA3">
        <w:t>, visit</w:t>
      </w:r>
      <w:r w:rsidR="007862A9" w:rsidRPr="007862A9">
        <w:t xml:space="preserve">: </w:t>
      </w:r>
      <w:hyperlink r:id="rId8" w:history="1">
        <w:r w:rsidR="000C3A60" w:rsidRPr="000A37D3">
          <w:rPr>
            <w:rStyle w:val="Hyperlink"/>
          </w:rPr>
          <w:t>www.kirkkey.com</w:t>
        </w:r>
      </w:hyperlink>
      <w:r w:rsidR="000C3A60">
        <w:t xml:space="preserve"> </w:t>
      </w:r>
    </w:p>
    <w:p w14:paraId="1866ACF8" w14:textId="1F684CBE" w:rsidR="00851C24" w:rsidRDefault="00851C24" w:rsidP="00DD1C2C">
      <w:pPr>
        <w:spacing w:line="276" w:lineRule="auto"/>
        <w:rPr>
          <w:rFonts w:cs="Arial"/>
          <w:lang w:val="en-US"/>
        </w:rPr>
      </w:pPr>
    </w:p>
    <w:p w14:paraId="7F54EAE3" w14:textId="77C40CCF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372C5544" w14:textId="3ACFD31E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51E2EF54" w14:textId="0A0443A8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60A44B36" w14:textId="19E645E3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3213E531" w14:textId="404C4678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49382FE0" w14:textId="0B918CC1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69D17C90" w14:textId="24A47FD9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55C97203" w14:textId="2C27B030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099EE5C7" w14:textId="2FE1A995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7F338BFF" w14:textId="778EB1CA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384791D6" w14:textId="2CB29789" w:rsidR="00B66C37" w:rsidRDefault="00B66C37" w:rsidP="00DD1C2C">
      <w:pPr>
        <w:spacing w:line="276" w:lineRule="auto"/>
        <w:rPr>
          <w:rFonts w:cs="Arial"/>
          <w:lang w:val="en-US"/>
        </w:rPr>
      </w:pPr>
    </w:p>
    <w:p w14:paraId="630B3C0B" w14:textId="7E113204" w:rsidR="00851C24" w:rsidRPr="000B02A1" w:rsidRDefault="00851C24" w:rsidP="00DD1C2C">
      <w:pPr>
        <w:spacing w:line="276" w:lineRule="auto"/>
      </w:pPr>
    </w:p>
    <w:sectPr w:rsidR="00851C24" w:rsidRPr="000B02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4C49" w14:textId="77777777" w:rsidR="00290945" w:rsidRDefault="00290945" w:rsidP="00F42FB5">
      <w:pPr>
        <w:spacing w:after="0" w:line="240" w:lineRule="auto"/>
      </w:pPr>
      <w:r>
        <w:separator/>
      </w:r>
    </w:p>
  </w:endnote>
  <w:endnote w:type="continuationSeparator" w:id="0">
    <w:p w14:paraId="44270424" w14:textId="77777777" w:rsidR="00290945" w:rsidRDefault="00290945" w:rsidP="00F42FB5">
      <w:pPr>
        <w:spacing w:after="0" w:line="240" w:lineRule="auto"/>
      </w:pPr>
      <w:r>
        <w:continuationSeparator/>
      </w:r>
    </w:p>
  </w:endnote>
  <w:endnote w:id="1">
    <w:p w14:paraId="5D44C94D" w14:textId="77777777" w:rsidR="000363ED" w:rsidRPr="00F940D8" w:rsidRDefault="000363ED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1" w:history="1">
        <w:r w:rsidRPr="00F940D8">
          <w:rPr>
            <w:rStyle w:val="Hyperlink"/>
            <w:sz w:val="22"/>
            <w:szCs w:val="22"/>
          </w:rPr>
          <w:t>https://www.osha.gov/Top_Ten_Standards.html</w:t>
        </w:r>
      </w:hyperlink>
      <w:r w:rsidRPr="00F940D8">
        <w:rPr>
          <w:sz w:val="22"/>
          <w:szCs w:val="22"/>
        </w:rPr>
        <w:t xml:space="preserve"> </w:t>
      </w:r>
    </w:p>
  </w:endnote>
  <w:endnote w:id="2">
    <w:p w14:paraId="32EB764D" w14:textId="77777777" w:rsidR="00F50008" w:rsidRPr="00F940D8" w:rsidRDefault="00F50008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2" w:history="1">
        <w:r w:rsidRPr="00F940D8">
          <w:rPr>
            <w:rStyle w:val="Hyperlink"/>
            <w:sz w:val="22"/>
            <w:szCs w:val="22"/>
          </w:rPr>
          <w:t>https://www.employersresource.com/business-compliance/10-common-osha-violations-2017/</w:t>
        </w:r>
      </w:hyperlink>
      <w:r w:rsidRPr="00F940D8">
        <w:rPr>
          <w:sz w:val="22"/>
          <w:szCs w:val="22"/>
        </w:rPr>
        <w:t xml:space="preserve"> </w:t>
      </w:r>
    </w:p>
  </w:endnote>
  <w:endnote w:id="3">
    <w:p w14:paraId="6DF9E0F1" w14:textId="32E6F097" w:rsidR="00F940D8" w:rsidRPr="00F940D8" w:rsidRDefault="00F940D8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3" w:history="1">
        <w:r w:rsidRPr="00F940D8">
          <w:rPr>
            <w:rStyle w:val="Hyperlink"/>
            <w:sz w:val="22"/>
            <w:szCs w:val="22"/>
          </w:rPr>
          <w:t>https://www.osha.gov/dte/grant_materials/fy10/sh-20856.../Machine_Guarding.ppt</w:t>
        </w:r>
      </w:hyperlink>
      <w:r w:rsidRPr="00F940D8">
        <w:rPr>
          <w:sz w:val="22"/>
          <w:szCs w:val="22"/>
        </w:rPr>
        <w:t xml:space="preserve"> </w:t>
      </w:r>
    </w:p>
  </w:endnote>
  <w:endnote w:id="4">
    <w:p w14:paraId="0E262DF6" w14:textId="77777777" w:rsidR="00DD1C2C" w:rsidRPr="00F940D8" w:rsidRDefault="00DD1C2C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4" w:history="1">
        <w:r w:rsidRPr="00F940D8">
          <w:rPr>
            <w:rStyle w:val="Hyperlink"/>
            <w:sz w:val="22"/>
            <w:szCs w:val="22"/>
          </w:rPr>
          <w:t>https://www.osha.gov/pls/oshaweb/owadisp.show_document?p_table=STANDARDS&amp;p_id=9836</w:t>
        </w:r>
      </w:hyperlink>
      <w:r w:rsidRPr="00F940D8">
        <w:rPr>
          <w:sz w:val="22"/>
          <w:szCs w:val="22"/>
        </w:rPr>
        <w:t xml:space="preserve"> </w:t>
      </w:r>
    </w:p>
  </w:endnote>
  <w:endnote w:id="5">
    <w:p w14:paraId="7383A060" w14:textId="77777777" w:rsidR="00783A16" w:rsidRPr="00F940D8" w:rsidRDefault="00783A16" w:rsidP="00783A16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5" w:history="1">
        <w:r w:rsidRPr="00F940D8">
          <w:rPr>
            <w:rStyle w:val="Hyperlink"/>
            <w:sz w:val="22"/>
            <w:szCs w:val="22"/>
          </w:rPr>
          <w:t>https://www.osha.gov/dep/greenjobs/windenergy_loto.html</w:t>
        </w:r>
      </w:hyperlink>
      <w:r w:rsidRPr="00F940D8">
        <w:rPr>
          <w:sz w:val="22"/>
          <w:szCs w:val="22"/>
        </w:rPr>
        <w:t xml:space="preserve"> </w:t>
      </w:r>
    </w:p>
  </w:endnote>
  <w:endnote w:id="6">
    <w:p w14:paraId="1BAC663C" w14:textId="77777777" w:rsidR="00783A16" w:rsidRPr="00F940D8" w:rsidRDefault="00783A16" w:rsidP="00783A16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6" w:history="1">
        <w:r w:rsidRPr="00F940D8">
          <w:rPr>
            <w:rStyle w:val="Hyperlink"/>
            <w:sz w:val="22"/>
            <w:szCs w:val="22"/>
          </w:rPr>
          <w:t>https://www.tsctrainingacademy.com/tscta-news/lockout-tagout-latest-revision/</w:t>
        </w:r>
      </w:hyperlink>
      <w:r w:rsidRPr="00F940D8">
        <w:rPr>
          <w:sz w:val="22"/>
          <w:szCs w:val="22"/>
        </w:rPr>
        <w:t xml:space="preserve"> </w:t>
      </w:r>
    </w:p>
  </w:endnote>
  <w:endnote w:id="7">
    <w:p w14:paraId="3FDAB9E1" w14:textId="77777777" w:rsidR="00783A16" w:rsidRPr="00F940D8" w:rsidRDefault="00783A16" w:rsidP="00783A16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7" w:history="1">
        <w:r w:rsidRPr="00F940D8">
          <w:rPr>
            <w:rStyle w:val="Hyperlink"/>
            <w:sz w:val="22"/>
            <w:szCs w:val="22"/>
          </w:rPr>
          <w:t>https://www.kirkkey.com/single-post/2018/03/21/KIRK-Complies-with-ANSI-Z2441</w:t>
        </w:r>
      </w:hyperlink>
      <w:r w:rsidRPr="00F940D8">
        <w:rPr>
          <w:sz w:val="22"/>
          <w:szCs w:val="22"/>
        </w:rPr>
        <w:t xml:space="preserve"> </w:t>
      </w:r>
    </w:p>
  </w:endnote>
  <w:endnote w:id="8">
    <w:p w14:paraId="18BAAE0C" w14:textId="77777777" w:rsidR="009662D7" w:rsidRPr="0017073F" w:rsidRDefault="009662D7" w:rsidP="009662D7">
      <w:pPr>
        <w:pStyle w:val="EndnoteText"/>
        <w:rPr>
          <w:sz w:val="22"/>
          <w:szCs w:val="22"/>
        </w:rPr>
      </w:pPr>
      <w:r w:rsidRPr="00F940D8">
        <w:rPr>
          <w:rStyle w:val="EndnoteReference"/>
          <w:sz w:val="22"/>
          <w:szCs w:val="22"/>
        </w:rPr>
        <w:endnoteRef/>
      </w:r>
      <w:r w:rsidRPr="00F940D8">
        <w:rPr>
          <w:sz w:val="22"/>
          <w:szCs w:val="22"/>
        </w:rPr>
        <w:t xml:space="preserve"> </w:t>
      </w:r>
      <w:hyperlink r:id="rId8" w:history="1">
        <w:r w:rsidRPr="00F940D8">
          <w:rPr>
            <w:rStyle w:val="Hyperlink"/>
            <w:sz w:val="22"/>
            <w:szCs w:val="22"/>
          </w:rPr>
          <w:t>https://www.kirkkey.com/single-post/2017/06/15/5-Reasons-to-Protect-Your-Workers-with-Trapped-Key-Interlocks?Page=KIRK%C2%AE%2BIntroduction</w:t>
        </w:r>
      </w:hyperlink>
      <w:r w:rsidRPr="0017073F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22E8" w14:textId="77777777" w:rsidR="00290945" w:rsidRDefault="00290945" w:rsidP="00F42FB5">
      <w:pPr>
        <w:spacing w:after="0" w:line="240" w:lineRule="auto"/>
      </w:pPr>
      <w:r>
        <w:separator/>
      </w:r>
    </w:p>
  </w:footnote>
  <w:footnote w:type="continuationSeparator" w:id="0">
    <w:p w14:paraId="1589E612" w14:textId="77777777" w:rsidR="00290945" w:rsidRDefault="00290945" w:rsidP="00F4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9C43" w14:textId="77777777" w:rsidR="00F42FB5" w:rsidRDefault="00A92D9D">
    <w:pPr>
      <w:pStyle w:val="Header"/>
    </w:pPr>
    <w:r>
      <w:rPr>
        <w:noProof/>
      </w:rPr>
      <w:pict w14:anchorId="71261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5pt;margin-top:-18.6pt;width:81.75pt;height:70.3pt;z-index:-251658752;mso-position-horizontal-relative:text;mso-position-vertical-relative:text;mso-width-relative:page;mso-height-relative:page">
          <v:imagedata r:id="rId1" o:title="KK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57"/>
    <w:multiLevelType w:val="hybridMultilevel"/>
    <w:tmpl w:val="7CFE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4350"/>
    <w:multiLevelType w:val="hybridMultilevel"/>
    <w:tmpl w:val="15940E58"/>
    <w:lvl w:ilvl="0" w:tplc="A9EE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C5B48">
      <w:start w:val="3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2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0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E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C3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61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2C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2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5"/>
    <w:rsid w:val="00001C6C"/>
    <w:rsid w:val="00026CD4"/>
    <w:rsid w:val="000363ED"/>
    <w:rsid w:val="00053AC6"/>
    <w:rsid w:val="000B02A1"/>
    <w:rsid w:val="000C3A60"/>
    <w:rsid w:val="000C75EB"/>
    <w:rsid w:val="0013376D"/>
    <w:rsid w:val="0017073F"/>
    <w:rsid w:val="001B415D"/>
    <w:rsid w:val="001F1D64"/>
    <w:rsid w:val="001F5E3D"/>
    <w:rsid w:val="002232DF"/>
    <w:rsid w:val="002805B1"/>
    <w:rsid w:val="00290945"/>
    <w:rsid w:val="00291CDA"/>
    <w:rsid w:val="00296D97"/>
    <w:rsid w:val="002A57B3"/>
    <w:rsid w:val="0033379A"/>
    <w:rsid w:val="00360051"/>
    <w:rsid w:val="00370AE1"/>
    <w:rsid w:val="00373A94"/>
    <w:rsid w:val="003742E0"/>
    <w:rsid w:val="003F2FFA"/>
    <w:rsid w:val="00442E6A"/>
    <w:rsid w:val="004D134D"/>
    <w:rsid w:val="004D53F4"/>
    <w:rsid w:val="004E394D"/>
    <w:rsid w:val="005D5A21"/>
    <w:rsid w:val="00672726"/>
    <w:rsid w:val="006769B6"/>
    <w:rsid w:val="00683EA1"/>
    <w:rsid w:val="006A64DD"/>
    <w:rsid w:val="006C0638"/>
    <w:rsid w:val="007369E9"/>
    <w:rsid w:val="00783A16"/>
    <w:rsid w:val="00785D87"/>
    <w:rsid w:val="007862A9"/>
    <w:rsid w:val="007923AE"/>
    <w:rsid w:val="00823A15"/>
    <w:rsid w:val="00851C24"/>
    <w:rsid w:val="0085510A"/>
    <w:rsid w:val="008864F5"/>
    <w:rsid w:val="00891097"/>
    <w:rsid w:val="008B0787"/>
    <w:rsid w:val="008C55C5"/>
    <w:rsid w:val="008F548C"/>
    <w:rsid w:val="00932F4C"/>
    <w:rsid w:val="00952EE1"/>
    <w:rsid w:val="009662D7"/>
    <w:rsid w:val="00970884"/>
    <w:rsid w:val="0098582B"/>
    <w:rsid w:val="009B6DA3"/>
    <w:rsid w:val="009E7BA0"/>
    <w:rsid w:val="00A20AA3"/>
    <w:rsid w:val="00A92D9D"/>
    <w:rsid w:val="00B66C37"/>
    <w:rsid w:val="00B718AA"/>
    <w:rsid w:val="00B87EC6"/>
    <w:rsid w:val="00BD3652"/>
    <w:rsid w:val="00BD5BBF"/>
    <w:rsid w:val="00C105DC"/>
    <w:rsid w:val="00C2119A"/>
    <w:rsid w:val="00C55E32"/>
    <w:rsid w:val="00C8637C"/>
    <w:rsid w:val="00C908CC"/>
    <w:rsid w:val="00D02CD0"/>
    <w:rsid w:val="00D22B30"/>
    <w:rsid w:val="00D3045E"/>
    <w:rsid w:val="00D4370D"/>
    <w:rsid w:val="00D71ECD"/>
    <w:rsid w:val="00DD1C2C"/>
    <w:rsid w:val="00E2039E"/>
    <w:rsid w:val="00E26B0B"/>
    <w:rsid w:val="00E436CB"/>
    <w:rsid w:val="00EA43B6"/>
    <w:rsid w:val="00EC5423"/>
    <w:rsid w:val="00ED4C23"/>
    <w:rsid w:val="00F31C6C"/>
    <w:rsid w:val="00F40FD6"/>
    <w:rsid w:val="00F42FB5"/>
    <w:rsid w:val="00F50008"/>
    <w:rsid w:val="00F82AE0"/>
    <w:rsid w:val="00F940D8"/>
    <w:rsid w:val="00FA5819"/>
    <w:rsid w:val="00FA637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8147D3"/>
  <w15:chartTrackingRefBased/>
  <w15:docId w15:val="{9E84F314-C41B-4E49-A9A2-056A2B80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B5"/>
  </w:style>
  <w:style w:type="paragraph" w:styleId="Footer">
    <w:name w:val="footer"/>
    <w:basedOn w:val="Normal"/>
    <w:link w:val="FooterChar"/>
    <w:uiPriority w:val="99"/>
    <w:unhideWhenUsed/>
    <w:rsid w:val="00F4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B5"/>
  </w:style>
  <w:style w:type="character" w:styleId="Hyperlink">
    <w:name w:val="Hyperlink"/>
    <w:basedOn w:val="DefaultParagraphFont"/>
    <w:uiPriority w:val="99"/>
    <w:rsid w:val="00851C2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C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C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1C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5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k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key.com/single-post/2017/06/15/5-Reasons-to-Protect-Your-Workers-with-Trapped-Key-Interlocks?Page=KIRK%C2%AE%2BIntroduction" TargetMode="External"/><Relationship Id="rId3" Type="http://schemas.openxmlformats.org/officeDocument/2006/relationships/hyperlink" Target="https://www.osha.gov/dte/grant_materials/fy10/sh-20856.../Machine_Guarding.ppt" TargetMode="External"/><Relationship Id="rId7" Type="http://schemas.openxmlformats.org/officeDocument/2006/relationships/hyperlink" Target="https://www.kirkkey.com/single-post/2018/03/21/KIRK-Complies-with-ANSI-Z2441" TargetMode="External"/><Relationship Id="rId2" Type="http://schemas.openxmlformats.org/officeDocument/2006/relationships/hyperlink" Target="https://www.employersresource.com/business-compliance/10-common-osha-violations-2017/" TargetMode="External"/><Relationship Id="rId1" Type="http://schemas.openxmlformats.org/officeDocument/2006/relationships/hyperlink" Target="https://www.osha.gov/Top_Ten_Standards.html" TargetMode="External"/><Relationship Id="rId6" Type="http://schemas.openxmlformats.org/officeDocument/2006/relationships/hyperlink" Target="https://www.tsctrainingacademy.com/tscta-news/lockout-tagout-latest-revision/" TargetMode="External"/><Relationship Id="rId5" Type="http://schemas.openxmlformats.org/officeDocument/2006/relationships/hyperlink" Target="https://www.osha.gov/dep/greenjobs/windenergy_loto.html" TargetMode="External"/><Relationship Id="rId4" Type="http://schemas.openxmlformats.org/officeDocument/2006/relationships/hyperlink" Target="https://www.osha.gov/pls/oshaweb/owadisp.show_document?p_table=STANDARDS&amp;p_id=98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1EF2-07D6-4C42-B0C1-704532B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Hutchins</dc:creator>
  <cp:keywords/>
  <dc:description/>
  <cp:lastModifiedBy>Charlotte Hutchins</cp:lastModifiedBy>
  <cp:revision>3</cp:revision>
  <dcterms:created xsi:type="dcterms:W3CDTF">2018-05-01T14:41:00Z</dcterms:created>
  <dcterms:modified xsi:type="dcterms:W3CDTF">2018-05-01T14:43:00Z</dcterms:modified>
</cp:coreProperties>
</file>